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2"/>
        <w:jc w:val="center"/>
        <w:rPr>
          <w:rFonts w:ascii="Times New Roman" w:hAnsi="Times New Roman" w:eastAsia="Calibri Light" w:cs="Times New Roman"/>
          <w:b/>
          <w:b/>
          <w:i/>
          <w:i/>
          <w:caps/>
          <w:color w:val="3465A4"/>
          <w:sz w:val="44"/>
          <w:szCs w:val="44"/>
        </w:rPr>
      </w:pPr>
      <w:r>
        <w:rPr>
          <w:rFonts w:eastAsia="Calibri Light" w:cs="Times New Roman" w:ascii="Times New Roman" w:hAnsi="Times New Roman"/>
          <w:b/>
          <w:i/>
          <w:caps/>
          <w:color w:val="3465A4"/>
          <w:sz w:val="44"/>
          <w:szCs w:val="44"/>
        </w:rPr>
      </w:r>
    </w:p>
    <w:p>
      <w:pPr>
        <w:pStyle w:val="Style22"/>
        <w:jc w:val="center"/>
        <w:rPr>
          <w:rFonts w:ascii="Times New Roman" w:hAnsi="Times New Roman" w:eastAsia="Calibri Light" w:cs="Times New Roman"/>
          <w:b/>
          <w:b/>
          <w:i/>
          <w:i/>
          <w:caps/>
          <w:color w:val="44546A"/>
          <w:sz w:val="48"/>
          <w:szCs w:val="48"/>
        </w:rPr>
      </w:pPr>
      <w:r>
        <w:rPr>
          <w:rFonts w:eastAsia="Calibri Light" w:cs="Times New Roman" w:ascii="Times New Roman" w:hAnsi="Times New Roman"/>
          <w:b/>
          <w:i/>
          <w:caps/>
          <w:color w:val="3465A4"/>
          <w:sz w:val="44"/>
          <w:szCs w:val="44"/>
        </w:rPr>
        <w:t xml:space="preserve">Правила участия </w:t>
      </w:r>
    </w:p>
    <w:p>
      <w:pPr>
        <w:pStyle w:val="Normal"/>
        <w:spacing w:lineRule="auto" w:line="240" w:before="0" w:after="280"/>
        <w:contextualSpacing/>
        <w:jc w:val="center"/>
        <w:rPr>
          <w:rFonts w:ascii="Times New Roman" w:hAnsi="Times New Roman" w:eastAsia="Calibri Light" w:cs="Times New Roman"/>
          <w:b/>
          <w:b/>
          <w:i/>
          <w:i/>
          <w:caps/>
          <w:color w:val="3465A4"/>
          <w:kern w:val="2"/>
          <w:sz w:val="44"/>
          <w:szCs w:val="44"/>
        </w:rPr>
      </w:pPr>
      <w:r>
        <w:rPr>
          <w:rFonts w:eastAsia="Calibri Light" w:cs="Times New Roman" w:ascii="Times New Roman" w:hAnsi="Times New Roman"/>
          <w:b/>
          <w:i/>
          <w:caps/>
          <w:color w:val="3465A4"/>
          <w:kern w:val="2"/>
          <w:sz w:val="44"/>
          <w:szCs w:val="44"/>
        </w:rPr>
        <w:t>в ХХ Агропромышленной</w:t>
      </w:r>
    </w:p>
    <w:p>
      <w:pPr>
        <w:pStyle w:val="Normal"/>
        <w:spacing w:lineRule="auto" w:line="240" w:before="0" w:after="280"/>
        <w:contextualSpacing/>
        <w:jc w:val="center"/>
        <w:rPr>
          <w:rFonts w:ascii="Times New Roman" w:hAnsi="Times New Roman" w:eastAsia="Calibri Light" w:cs="Times New Roman"/>
          <w:b/>
          <w:b/>
          <w:i/>
          <w:i/>
          <w:caps/>
          <w:color w:val="3465A4"/>
          <w:kern w:val="2"/>
          <w:sz w:val="44"/>
          <w:szCs w:val="44"/>
        </w:rPr>
      </w:pPr>
      <w:r>
        <w:rPr>
          <w:rFonts w:eastAsia="Calibri Light" w:cs="Times New Roman" w:ascii="Times New Roman" w:hAnsi="Times New Roman"/>
          <w:b/>
          <w:i/>
          <w:caps/>
          <w:color w:val="3465A4"/>
          <w:kern w:val="2"/>
          <w:sz w:val="44"/>
          <w:szCs w:val="44"/>
        </w:rPr>
        <w:t>выставке-ярмарке «Золотая Нива»</w:t>
      </w:r>
    </w:p>
    <w:p>
      <w:pPr>
        <w:pStyle w:val="Normal"/>
        <w:spacing w:lineRule="auto" w:line="240" w:before="0" w:after="280"/>
        <w:contextualSpacing/>
        <w:jc w:val="center"/>
        <w:rPr>
          <w:rFonts w:ascii="Times New Roman" w:hAnsi="Times New Roman" w:eastAsia="Calibri Light" w:cs="Times New Roman"/>
          <w:b/>
          <w:b/>
          <w:i/>
          <w:i/>
          <w:caps/>
          <w:color w:val="44546A"/>
          <w:kern w:val="2"/>
          <w:sz w:val="48"/>
          <w:szCs w:val="48"/>
        </w:rPr>
      </w:pPr>
      <w:r>
        <w:rPr>
          <w:rFonts w:eastAsia="Calibri Light" w:cs="Times New Roman" w:ascii="Times New Roman" w:hAnsi="Times New Roman"/>
          <w:b/>
          <w:i/>
          <w:caps/>
          <w:color w:val="44546A"/>
          <w:kern w:val="2"/>
          <w:sz w:val="48"/>
          <w:szCs w:val="48"/>
        </w:rPr>
      </w:r>
    </w:p>
    <w:p>
      <w:pPr>
        <w:pStyle w:val="Normal"/>
        <w:tabs>
          <w:tab w:val="clear" w:pos="408"/>
          <w:tab w:val="left" w:pos="2640" w:leader="none"/>
        </w:tabs>
        <w:spacing w:lineRule="auto" w:line="312" w:before="0" w:after="200"/>
        <w:jc w:val="center"/>
        <w:rPr>
          <w:rFonts w:ascii="Calibri" w:hAnsi="Calibri" w:eastAsia="Calibri" w:cs="Times New Roman (Основной текст"/>
          <w:color w:val="657C9C"/>
          <w:sz w:val="24"/>
          <w:szCs w:val="24"/>
        </w:rPr>
      </w:pPr>
      <w:r>
        <w:rPr/>
        <w:drawing>
          <wp:inline distT="0" distB="0" distL="0" distR="0">
            <wp:extent cx="5505450" cy="3648075"/>
            <wp:effectExtent l="0" t="0" r="0" b="0"/>
            <wp:docPr id="1" name="Рисунок 9" descr="C:\Users\User\Desktop\Золотая Нива\zolotaya-niva_b__ettgc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 descr="C:\Users\User\Desktop\Золотая Нива\zolotaya-niva_b__ettgcoy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0" w:after="0"/>
        <w:jc w:val="center"/>
        <w:rPr>
          <w:rFonts w:ascii="Calibri" w:hAnsi="Calibri" w:eastAsia="Calibri" w:cs="Times New Roman (Основной текст"/>
          <w:b/>
          <w:b/>
          <w:color w:val="44546A"/>
          <w:sz w:val="30"/>
          <w:szCs w:val="24"/>
        </w:rPr>
      </w:pPr>
      <w:r>
        <w:rPr>
          <w:rFonts w:eastAsia="Calibri" w:cs="Times New Roman (Основной текст"/>
          <w:b/>
          <w:color w:val="44546A"/>
          <w:sz w:val="30"/>
          <w:szCs w:val="24"/>
        </w:rPr>
      </w:r>
    </w:p>
    <w:p>
      <w:pPr>
        <w:pStyle w:val="Normal"/>
        <w:spacing w:lineRule="auto" w:line="312" w:before="0" w:after="0"/>
        <w:jc w:val="center"/>
        <w:rPr>
          <w:rFonts w:ascii="Times New Roman" w:hAnsi="Times New Roman" w:eastAsia="Calibri" w:cs="Times New Roman"/>
          <w:b/>
          <w:b/>
          <w:i/>
          <w:i/>
          <w:color w:val="FF0000"/>
          <w:sz w:val="48"/>
          <w:szCs w:val="48"/>
        </w:rPr>
      </w:pPr>
      <w:r>
        <w:rPr>
          <w:rFonts w:eastAsia="Calibri" w:cs="Times New Roman" w:ascii="Times New Roman" w:hAnsi="Times New Roman"/>
          <w:b/>
          <w:i/>
          <w:color w:val="FF0000"/>
          <w:sz w:val="48"/>
          <w:szCs w:val="48"/>
        </w:rPr>
        <w:t>15 – 18 сентября 2020 года</w:t>
      </w:r>
    </w:p>
    <w:p>
      <w:pPr>
        <w:pStyle w:val="Normal"/>
        <w:spacing w:lineRule="auto" w:line="312" w:before="0" w:after="0"/>
        <w:jc w:val="center"/>
        <w:rPr>
          <w:rFonts w:ascii="Times New Roman" w:hAnsi="Times New Roman" w:eastAsia="Calibri" w:cs="Times New Roman"/>
          <w:b/>
          <w:b/>
          <w:i/>
          <w:i/>
          <w:color w:val="44546A"/>
          <w:sz w:val="30"/>
          <w:szCs w:val="24"/>
        </w:rPr>
      </w:pPr>
      <w:r>
        <w:rPr>
          <w:rFonts w:eastAsia="Calibri" w:cs="Times New Roman" w:ascii="Times New Roman" w:hAnsi="Times New Roman"/>
          <w:b/>
          <w:i/>
          <w:color w:val="44546A"/>
          <w:sz w:val="30"/>
          <w:szCs w:val="24"/>
        </w:rPr>
      </w:r>
    </w:p>
    <w:p>
      <w:pPr>
        <w:pStyle w:val="Normal"/>
        <w:spacing w:lineRule="auto" w:line="312" w:before="0" w:after="0"/>
        <w:jc w:val="center"/>
        <w:rPr>
          <w:rFonts w:ascii="Times New Roman" w:hAnsi="Times New Roman" w:eastAsia="Calibri" w:cs="Times New Roman"/>
          <w:b/>
          <w:b/>
          <w:i/>
          <w:i/>
          <w:color w:val="44546A"/>
          <w:sz w:val="28"/>
          <w:szCs w:val="28"/>
        </w:rPr>
      </w:pPr>
      <w:r>
        <w:rPr>
          <w:rFonts w:eastAsia="Calibri" w:cs="Times New Roman" w:ascii="Times New Roman" w:hAnsi="Times New Roman"/>
          <w:b/>
          <w:i/>
          <w:color w:val="44546A"/>
          <w:sz w:val="28"/>
          <w:szCs w:val="28"/>
        </w:rPr>
        <w:t>Краснодарский край, Усть-Лабинский муниципальный район, Воронежское сельское поселение, ст. Воронежская, ул. Садовая, 325</w:t>
      </w:r>
    </w:p>
    <w:p>
      <w:pPr>
        <w:pStyle w:val="Normal"/>
        <w:spacing w:lineRule="auto" w:line="312" w:before="0" w:after="0"/>
        <w:jc w:val="center"/>
        <w:rPr>
          <w:rFonts w:ascii="Times New Roman" w:hAnsi="Times New Roman" w:eastAsia="Calibri" w:cs="Times New Roman"/>
          <w:b/>
          <w:b/>
          <w:i/>
          <w:i/>
          <w:color w:val="44546A"/>
          <w:sz w:val="28"/>
          <w:szCs w:val="28"/>
        </w:rPr>
      </w:pPr>
      <w:r>
        <w:rPr>
          <w:rFonts w:eastAsia="Calibri" w:cs="Times New Roman" w:ascii="Times New Roman" w:hAnsi="Times New Roman"/>
          <w:b/>
          <w:i/>
          <w:color w:val="44546A"/>
          <w:sz w:val="24"/>
          <w:szCs w:val="24"/>
        </w:rPr>
        <w:t>(вдоль автодороги Темрюк-Кропоткин, северо-восточнее ст. Воронежской)</w:t>
      </w:r>
    </w:p>
    <w:p>
      <w:pPr>
        <w:pStyle w:val="Normal"/>
        <w:spacing w:lineRule="auto" w:line="240" w:before="0" w:after="0"/>
        <w:rPr>
          <w:rFonts w:ascii="Calibri" w:hAnsi="Calibri" w:eastAsia="Calibri" w:cs="Times New Roman (Основной текст"/>
          <w:color w:val="657C9C"/>
          <w:sz w:val="28"/>
          <w:szCs w:val="28"/>
        </w:rPr>
      </w:pPr>
      <w:r>
        <w:rPr>
          <w:rFonts w:eastAsia="Calibri" w:cs="Times New Roman (Основной текст"/>
          <w:color w:val="657C9C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Calibri" w:hAnsi="Calibri" w:eastAsia="Calibri" w:cs="Times New Roman (Основной текст"/>
          <w:color w:val="657C9C"/>
          <w:sz w:val="28"/>
          <w:szCs w:val="28"/>
        </w:rPr>
      </w:pPr>
      <w:r>
        <w:rPr>
          <w:rFonts w:eastAsia="Calibri" w:cs="Times New Roman (Основной текст"/>
          <w:color w:val="657C9C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Calibri" w:hAnsi="Calibri" w:eastAsia="Calibri" w:cs="Times New Roman (Основной текст"/>
          <w:color w:val="657C9C"/>
          <w:sz w:val="28"/>
          <w:szCs w:val="28"/>
        </w:rPr>
      </w:pPr>
      <w:r>
        <w:rPr>
          <w:rFonts w:eastAsia="Calibri" w:cs="Times New Roman (Основной текст"/>
          <w:color w:val="657C9C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Calibri" w:hAnsi="Calibri" w:eastAsia="Calibri" w:cs="Times New Roman (Основной текст"/>
          <w:color w:val="657C9C"/>
          <w:sz w:val="24"/>
          <w:szCs w:val="24"/>
        </w:rPr>
      </w:pPr>
      <w:r>
        <w:rPr>
          <w:rFonts w:eastAsia="Calibri" w:cs="Times New Roman (Основной текст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alibri" w:hAnsi="Calibri" w:eastAsia="Calibri" w:cs="Times New Roman (Основной текст"/>
          <w:color w:val="657C9C"/>
          <w:sz w:val="24"/>
          <w:szCs w:val="24"/>
        </w:rPr>
      </w:pPr>
      <w:r>
        <w:rPr>
          <w:rFonts w:eastAsia="Calibri" w:cs="Times New Roman (Основной текст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alibri" w:hAnsi="Calibri" w:eastAsia="Calibri" w:cs="Times New Roman (Основной текст"/>
          <w:color w:val="657C9C"/>
          <w:sz w:val="24"/>
          <w:szCs w:val="24"/>
        </w:rPr>
      </w:pPr>
      <w:r>
        <w:rPr>
          <w:rFonts w:eastAsia="Calibri" w:cs="Times New Roman (Основной текст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alibri" w:hAnsi="Calibri" w:eastAsia="Calibri" w:cs="Times New Roman (Основной текст"/>
          <w:color w:val="657C9C"/>
          <w:sz w:val="24"/>
          <w:szCs w:val="24"/>
        </w:rPr>
      </w:pPr>
      <w:r>
        <w:rPr>
          <w:rFonts w:eastAsia="Calibri" w:cs="Times New Roman (Основной текст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alibri" w:hAnsi="Calibri" w:eastAsia="Calibri" w:cs="Times New Roman (Основной текст"/>
          <w:color w:val="657C9C"/>
          <w:sz w:val="24"/>
          <w:szCs w:val="24"/>
        </w:rPr>
      </w:pPr>
      <w:r>
        <w:rPr>
          <w:rFonts w:eastAsia="Calibri" w:cs="Times New Roman (Основной текст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b/>
          <w:b/>
          <w:i/>
          <w:i/>
          <w:color w:val="657C9C"/>
          <w:sz w:val="44"/>
          <w:szCs w:val="44"/>
        </w:rPr>
      </w:pPr>
      <w:r>
        <w:rPr>
          <w:rFonts w:eastAsia="Calibri" w:cs="Times New Roman" w:ascii="Times New Roman" w:hAnsi="Times New Roman"/>
          <w:b/>
          <w:i/>
          <w:color w:val="657C9C"/>
          <w:sz w:val="44"/>
          <w:szCs w:val="44"/>
          <w:u w:val="single"/>
        </w:rPr>
        <w:t>Уважаемые Участники Выставки-Ярмарки!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  <w:t>Мы рады приветствовать Вас в качестве Экспонента Выставки-Ярмарки «Золотая Нива 2020». Устроители прилагают все усилия, чтобы Ваша экспозиция была представлена наиболее эффективно.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  <w:t xml:space="preserve">Представленные Вам Правила содержат важную информацию для подготовки и участия в Выставке-Ярмарке.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  <w:t>Правила содержат ряд положений и условий, соблюдение которых обеспечит максимальную безопасность Экспонентов и посетителей Выставки-Ярмарки.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  <w:t>Пожалуйста, обращайтесь к нам с вопросами, которые могут возникнуть у Вас в ходе подготовки и проведения Выставки-Ярмарки.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  <w:t xml:space="preserve">Устроители желают Вам плодотворной работы.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  <w:t xml:space="preserve">Благодарим за участие в Выставке-Ярмарке!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  <w:t>С уважением,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  <w:t>Устроители Выставки-Ярмарки «Золотая Нива»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32"/>
          <w:szCs w:val="32"/>
        </w:rPr>
      </w:pPr>
      <w:r>
        <w:rPr>
          <w:rFonts w:eastAsia="Calibri" w:cs="Times New Roman" w:ascii="Times New Roman" w:hAnsi="Times New Roman"/>
          <w:i/>
          <w:color w:val="657C9C"/>
          <w:sz w:val="32"/>
          <w:szCs w:val="32"/>
        </w:rPr>
      </w:r>
    </w:p>
    <w:p>
      <w:pPr>
        <w:pStyle w:val="Normal"/>
        <w:spacing w:lineRule="auto" w:line="240" w:before="0" w:after="0"/>
        <w:ind w:firstLine="708"/>
        <w:rPr>
          <w:rFonts w:ascii="Harlow Solid Italic" w:hAnsi="Harlow Solid Italic" w:eastAsia="Calibri" w:cs="Times New Roman (Основной текст"/>
          <w:color w:val="657C9C"/>
          <w:sz w:val="28"/>
          <w:szCs w:val="28"/>
        </w:rPr>
      </w:pPr>
      <w:r>
        <w:rPr>
          <w:rFonts w:eastAsia="Calibri" w:cs="Times New Roman (Основной текст" w:ascii="Harlow Solid Italic" w:hAnsi="Harlow Solid Italic"/>
          <w:color w:val="657C9C"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rPr>
          <w:rFonts w:ascii="Calibri" w:hAnsi="Calibri" w:eastAsia="Calibri" w:cs="Times New Roman (Основной текст"/>
          <w:color w:val="657C9C"/>
          <w:sz w:val="28"/>
          <w:szCs w:val="28"/>
        </w:rPr>
      </w:pPr>
      <w:r>
        <w:rPr>
          <w:rFonts w:eastAsia="Calibri" w:cs="Times New Roman (Основной текст"/>
          <w:color w:val="657C9C"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rPr>
          <w:rFonts w:ascii="Calibri" w:hAnsi="Calibri" w:eastAsia="Calibri" w:cs="Times New Roman (Основной текст"/>
          <w:color w:val="657C9C"/>
          <w:sz w:val="24"/>
          <w:szCs w:val="24"/>
        </w:rPr>
      </w:pPr>
      <w:r>
        <w:rPr>
          <w:rFonts w:eastAsia="Calibri" w:cs="Times New Roman (Основной текст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ind w:firstLine="708"/>
        <w:rPr>
          <w:rFonts w:ascii="Calibri" w:hAnsi="Calibri" w:eastAsia="Calibri" w:cs="Times New Roman (Основной текст"/>
          <w:color w:val="657C9C"/>
          <w:sz w:val="24"/>
          <w:szCs w:val="24"/>
        </w:rPr>
      </w:pPr>
      <w:r>
        <w:rPr>
          <w:rFonts w:eastAsia="Calibri" w:cs="Times New Roman (Основной текст"/>
          <w:color w:val="657C9C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ind w:firstLine="708"/>
        <w:rPr>
          <w:rFonts w:ascii="Calibri" w:hAnsi="Calibri" w:eastAsia="Calibri" w:cs="Times New Roman (Основной текст"/>
          <w:color w:val="657C9C"/>
          <w:sz w:val="24"/>
          <w:szCs w:val="24"/>
        </w:rPr>
      </w:pPr>
      <w:r>
        <w:rPr>
          <w:rFonts w:eastAsia="Calibri" w:cs="Times New Roman (Основной текст"/>
          <w:color w:val="657C9C"/>
          <w:sz w:val="24"/>
          <w:szCs w:val="24"/>
        </w:rPr>
      </w:r>
    </w:p>
    <w:p>
      <w:pPr>
        <w:pStyle w:val="Normal"/>
        <w:spacing w:lineRule="auto" w:line="240" w:before="0" w:after="160"/>
        <w:ind w:left="142" w:hanging="0"/>
        <w:contextualSpacing/>
        <w:jc w:val="both"/>
        <w:rPr>
          <w:rFonts w:ascii="Times New Roman" w:hAnsi="Times New Roman" w:eastAsia="Calibri" w:cs="Times New Roman"/>
          <w:b/>
          <w:b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b/>
          <w:color w:val="657C9C"/>
          <w:sz w:val="28"/>
          <w:szCs w:val="28"/>
        </w:rPr>
        <w:t>Используемая терминология:</w:t>
      </w:r>
    </w:p>
    <w:p>
      <w:pPr>
        <w:pStyle w:val="Normal"/>
        <w:spacing w:lineRule="auto" w:line="240" w:before="0" w:after="160"/>
        <w:ind w:left="142" w:hanging="0"/>
        <w:contextualSpacing/>
        <w:jc w:val="both"/>
        <w:rPr>
          <w:rFonts w:ascii="Times New Roman" w:hAnsi="Times New Roman" w:eastAsia="Calibri" w:cs="Times New Roman"/>
          <w:b/>
          <w:b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b/>
          <w:color w:val="657C9C"/>
          <w:sz w:val="28"/>
          <w:szCs w:val="28"/>
        </w:rPr>
      </w:r>
    </w:p>
    <w:p>
      <w:pPr>
        <w:pStyle w:val="Normal"/>
        <w:spacing w:lineRule="auto" w:line="240" w:before="0" w:after="20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color w:val="657C9C"/>
          <w:sz w:val="24"/>
          <w:szCs w:val="24"/>
        </w:rPr>
        <w:t xml:space="preserve">Аккредитация 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>–</w:t>
      </w:r>
      <w:r>
        <w:rPr>
          <w:rFonts w:eastAsia="Calibri" w:cs="Times New Roman" w:ascii="Times New Roman" w:hAnsi="Times New Roman"/>
          <w:b/>
          <w:color w:val="657C9C"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>проверка разрешительных документов грузоподъемных механизмов и лиц, ими управляющих, стропальщиков, на предмет соответствия требованиям законодательства. Проведение инструктажа по ТБ. Контроль над соблюдением безопасных методов работы при осуществлении ПРР. Проверка разрешительных документов на проведение монтажных, электротехнических работ у Застройщиков.</w:t>
      </w:r>
    </w:p>
    <w:p>
      <w:pPr>
        <w:pStyle w:val="Normal"/>
        <w:spacing w:lineRule="auto" w:line="240" w:before="0" w:after="20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color w:val="657C9C"/>
          <w:sz w:val="24"/>
          <w:szCs w:val="24"/>
        </w:rPr>
        <w:t>Блок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 xml:space="preserve"> — совокупность граничащих между собой секторов.</w:t>
      </w:r>
    </w:p>
    <w:p>
      <w:pPr>
        <w:pStyle w:val="Normal"/>
        <w:spacing w:lineRule="auto" w:line="240" w:before="0" w:after="20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color w:val="657C9C"/>
          <w:sz w:val="24"/>
          <w:szCs w:val="24"/>
        </w:rPr>
        <w:t>Выставка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 xml:space="preserve"> – ХХ Агропромышленная выставка-ярмарка «Золотая Нива», проходящая с 15 по 18 сентября 2020 г. по адресу: Краснодарский край, Усть-Лабинский район, ст. Воронежская, ул. Садовая, 325.</w:t>
      </w:r>
    </w:p>
    <w:p>
      <w:pPr>
        <w:pStyle w:val="Normal"/>
        <w:spacing w:lineRule="auto" w:line="240" w:before="0" w:after="20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color w:val="657C9C"/>
          <w:sz w:val="24"/>
          <w:szCs w:val="24"/>
        </w:rPr>
        <w:t xml:space="preserve">Грузоподъемные механизмы 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>–</w:t>
      </w:r>
      <w:r>
        <w:rPr>
          <w:rFonts w:eastAsia="Calibri" w:cs="Times New Roman" w:ascii="Times New Roman" w:hAnsi="Times New Roman"/>
          <w:b/>
          <w:color w:val="657C9C"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>автокраны и манипуляторы, используемые для организации ПРР.</w:t>
      </w:r>
    </w:p>
    <w:p>
      <w:pPr>
        <w:pStyle w:val="Normal"/>
        <w:spacing w:lineRule="auto" w:line="240" w:before="0" w:after="20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color w:val="657C9C"/>
          <w:sz w:val="24"/>
          <w:szCs w:val="24"/>
        </w:rPr>
        <w:t>Застройщик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 xml:space="preserve"> — компания, с которой Экспонент заключил договор для проведения застройки экспозиции.</w:t>
      </w:r>
    </w:p>
    <w:p>
      <w:pPr>
        <w:pStyle w:val="Normal"/>
        <w:spacing w:lineRule="auto" w:line="240" w:before="0" w:after="20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color w:val="657C9C"/>
          <w:sz w:val="24"/>
          <w:szCs w:val="24"/>
        </w:rPr>
        <w:t>Палатка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 xml:space="preserve"> — легкая каркасная конструкция, устанавливаемая Экспонентом без привлечения Застройщика.</w:t>
      </w:r>
    </w:p>
    <w:p>
      <w:pPr>
        <w:pStyle w:val="Normal"/>
        <w:spacing w:lineRule="auto" w:line="240" w:before="0" w:after="20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color w:val="657C9C"/>
          <w:sz w:val="24"/>
          <w:szCs w:val="24"/>
        </w:rPr>
        <w:t>Партнер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 xml:space="preserve"> — официальный партнер Выставки ООО «Юг-Кран», осуществляющий ПРР и контроль над соблюдением правил ТБ Экспонентами и Застройщиками.</w:t>
      </w:r>
    </w:p>
    <w:p>
      <w:pPr>
        <w:pStyle w:val="Normal"/>
        <w:spacing w:lineRule="auto" w:line="240" w:before="0" w:after="20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color w:val="657C9C"/>
          <w:sz w:val="24"/>
          <w:szCs w:val="24"/>
        </w:rPr>
        <w:t xml:space="preserve">ПРР 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>– погрузо–разгрузочные работы.</w:t>
      </w:r>
    </w:p>
    <w:p>
      <w:pPr>
        <w:pStyle w:val="Normal"/>
        <w:spacing w:lineRule="auto" w:line="240" w:before="0" w:after="20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color w:val="657C9C"/>
          <w:sz w:val="24"/>
          <w:szCs w:val="24"/>
        </w:rPr>
        <w:t>Сектор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 xml:space="preserve"> — арендованный Экспонентом участок территории Выставки.</w:t>
      </w:r>
    </w:p>
    <w:p>
      <w:pPr>
        <w:pStyle w:val="Normal"/>
        <w:spacing w:lineRule="auto" w:line="240" w:before="0" w:after="20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color w:val="657C9C"/>
          <w:sz w:val="24"/>
          <w:szCs w:val="24"/>
        </w:rPr>
        <w:t>Стенд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 xml:space="preserve"> — застраиваемая палатками, тентами и иными конструкциями часть сектора.</w:t>
      </w:r>
    </w:p>
    <w:p>
      <w:pPr>
        <w:pStyle w:val="Normal"/>
        <w:spacing w:lineRule="auto" w:line="240" w:before="0" w:after="20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color w:val="657C9C"/>
          <w:sz w:val="24"/>
          <w:szCs w:val="24"/>
        </w:rPr>
        <w:t xml:space="preserve">ТБ 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>– техника безопасности.</w:t>
      </w:r>
    </w:p>
    <w:p>
      <w:pPr>
        <w:pStyle w:val="Normal"/>
        <w:spacing w:lineRule="auto" w:line="240" w:before="0" w:after="20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color w:val="657C9C"/>
          <w:sz w:val="24"/>
          <w:szCs w:val="24"/>
        </w:rPr>
        <w:t xml:space="preserve">Транспортные средства 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>– грузовые автомобили, сервисные машины и машины застройщиков.</w:t>
      </w:r>
    </w:p>
    <w:p>
      <w:pPr>
        <w:pStyle w:val="Normal"/>
        <w:spacing w:lineRule="auto" w:line="240" w:before="0" w:after="20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color w:val="657C9C"/>
          <w:sz w:val="24"/>
          <w:szCs w:val="24"/>
        </w:rPr>
        <w:t xml:space="preserve">Устроитель 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>— ИП — Глава К(Ф)Х Квиткина Любовь Ивановна</w:t>
      </w:r>
    </w:p>
    <w:p>
      <w:pPr>
        <w:pStyle w:val="Normal"/>
        <w:spacing w:lineRule="auto" w:line="240" w:before="0" w:after="20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color w:val="657C9C"/>
          <w:sz w:val="24"/>
          <w:szCs w:val="24"/>
        </w:rPr>
        <w:t xml:space="preserve">Экспонат 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>–</w:t>
      </w:r>
      <w:r>
        <w:rPr>
          <w:rFonts w:eastAsia="Calibri" w:cs="Times New Roman" w:ascii="Times New Roman" w:hAnsi="Times New Roman"/>
          <w:b/>
          <w:color w:val="657C9C"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>сельскохозяйственная техника, оборудование, запасные части.</w:t>
      </w:r>
    </w:p>
    <w:p>
      <w:pPr>
        <w:pStyle w:val="Normal"/>
        <w:spacing w:lineRule="auto" w:line="240" w:before="0" w:after="0"/>
        <w:ind w:left="232" w:hanging="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b/>
          <w:color w:val="657C9C"/>
          <w:sz w:val="24"/>
          <w:szCs w:val="24"/>
        </w:rPr>
        <w:t>Экспонент</w:t>
      </w:r>
      <w:r>
        <w:rPr>
          <w:rFonts w:eastAsia="Calibri" w:cs="Times New Roman" w:ascii="Times New Roman" w:hAnsi="Times New Roman"/>
          <w:color w:val="657C9C"/>
          <w:sz w:val="24"/>
          <w:szCs w:val="24"/>
        </w:rPr>
        <w:t xml:space="preserve"> – физические или юридические лица, заключившие с Устроителем договор на участие в ХХ Агропромышленной выставки-ярмарки «Золотая Нива» с арендой выставочных площадей.</w:t>
      </w:r>
    </w:p>
    <w:p>
      <w:pPr>
        <w:pStyle w:val="Normal"/>
        <w:spacing w:lineRule="auto" w:line="240" w:before="0" w:after="0"/>
        <w:ind w:left="142" w:hanging="36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ind w:left="142" w:hanging="36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ind w:left="142" w:hanging="36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ind w:left="142" w:hanging="36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ind w:left="142" w:hanging="36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ind w:left="142" w:hanging="36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ind w:left="142" w:hanging="36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ind w:left="142" w:hanging="36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ind w:left="142" w:hanging="36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ind w:left="142" w:hanging="360"/>
        <w:contextualSpacing/>
        <w:jc w:val="both"/>
        <w:rPr>
          <w:rFonts w:ascii="Times New Roman" w:hAnsi="Times New Roman" w:eastAsia="Calibri" w:cs="Times New Roman"/>
          <w:color w:val="657C9C"/>
          <w:sz w:val="24"/>
          <w:szCs w:val="24"/>
        </w:rPr>
      </w:pPr>
      <w:r>
        <w:rPr>
          <w:rFonts w:eastAsia="Calibri" w:cs="Times New Roman" w:ascii="Times New Roman" w:hAnsi="Times New Roman"/>
          <w:color w:val="657C9C"/>
          <w:sz w:val="24"/>
          <w:szCs w:val="24"/>
        </w:rPr>
      </w:r>
    </w:p>
    <w:p>
      <w:pPr>
        <w:pStyle w:val="Normal"/>
        <w:spacing w:lineRule="auto" w:line="240" w:before="0" w:after="0"/>
        <w:ind w:left="2215" w:hanging="0"/>
        <w:contextualSpacing/>
        <w:jc w:val="both"/>
        <w:rPr>
          <w:rFonts w:ascii="Times New Roman" w:hAnsi="Times New Roman" w:eastAsia="Calibri" w:cs="Times New Roman"/>
          <w:b/>
          <w:b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bCs/>
          <w:i/>
          <w:color w:val="657C9C"/>
          <w:sz w:val="28"/>
          <w:szCs w:val="28"/>
        </w:rPr>
        <w:tab/>
        <w:tab/>
      </w:r>
      <w:r>
        <w:rPr>
          <w:rFonts w:eastAsia="Calibri" w:cs="Times New Roman" w:ascii="Times New Roman" w:hAnsi="Times New Roman"/>
          <w:b/>
          <w:bCs/>
          <w:i/>
          <w:color w:val="657C9C"/>
          <w:sz w:val="28"/>
          <w:szCs w:val="28"/>
          <w:u w:val="single"/>
        </w:rPr>
        <w:t>1. Общая информация</w:t>
      </w:r>
    </w:p>
    <w:p>
      <w:pPr>
        <w:pStyle w:val="Normal"/>
        <w:numPr>
          <w:ilvl w:val="1"/>
          <w:numId w:val="1"/>
        </w:numPr>
        <w:spacing w:lineRule="auto" w:line="240" w:before="0" w:after="0"/>
        <w:ind w:left="567" w:hanging="72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Порядок подачи и оформления заявок на предоставление и оказание услуг, условия их оплаты, а также ответственность сторон при подаче и выполнении заявок определены в Договорах, настоящих Правилах, нормативных актах, действующих на территории Краснодарского края и РФ.</w:t>
      </w:r>
    </w:p>
    <w:p>
      <w:pPr>
        <w:pStyle w:val="Normal"/>
        <w:numPr>
          <w:ilvl w:val="1"/>
          <w:numId w:val="1"/>
        </w:numPr>
        <w:spacing w:lineRule="auto" w:line="240" w:before="0" w:after="0"/>
        <w:ind w:left="567" w:hanging="72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 xml:space="preserve">Режим работы выставки в период с 15 сентября по 18 сентября 2020 года: </w:t>
      </w:r>
      <w:r>
        <w:rPr>
          <w:rFonts w:eastAsia="Calibri" w:cs="Times New Roman" w:ascii="Times New Roman" w:hAnsi="Times New Roman"/>
          <w:b/>
          <w:i/>
          <w:color w:val="657C9C"/>
          <w:sz w:val="28"/>
          <w:szCs w:val="28"/>
        </w:rPr>
        <w:t>с 8:00 до 17:00 часов</w:t>
      </w: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.</w:t>
      </w:r>
    </w:p>
    <w:p>
      <w:pPr>
        <w:pStyle w:val="Normal"/>
        <w:numPr>
          <w:ilvl w:val="1"/>
          <w:numId w:val="1"/>
        </w:numPr>
        <w:spacing w:lineRule="auto" w:line="240" w:before="0" w:after="0"/>
        <w:ind w:left="567" w:hanging="72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Устроитель гарантирует оказание услуг при условии своевременной подачи и оплате заявки.</w:t>
      </w:r>
    </w:p>
    <w:p>
      <w:pPr>
        <w:pStyle w:val="Normal"/>
        <w:numPr>
          <w:ilvl w:val="1"/>
          <w:numId w:val="1"/>
        </w:numPr>
        <w:spacing w:lineRule="auto" w:line="240" w:before="0" w:after="0"/>
        <w:ind w:left="567" w:hanging="72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 xml:space="preserve">Месторасположение и площадь экспозиции определяются Устроителем согласно договору. </w:t>
      </w:r>
    </w:p>
    <w:p>
      <w:pPr>
        <w:pStyle w:val="Normal"/>
        <w:numPr>
          <w:ilvl w:val="1"/>
          <w:numId w:val="1"/>
        </w:numPr>
        <w:spacing w:lineRule="auto" w:line="240" w:before="0" w:after="0"/>
        <w:ind w:left="567" w:hanging="72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Устроитель предоставляет аппарели для съезда самоходных экспонатов, место для мойки Экспонатов, а также оказывает возмездные услуги по предоставлению питания в период с 07.09.2020 г. по 23.09.2020 г.</w:t>
      </w:r>
    </w:p>
    <w:p>
      <w:pPr>
        <w:pStyle w:val="Normal"/>
        <w:numPr>
          <w:ilvl w:val="1"/>
          <w:numId w:val="1"/>
        </w:numPr>
        <w:spacing w:lineRule="auto" w:line="240" w:before="0" w:after="0"/>
        <w:ind w:left="567" w:hanging="72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Каждый Экспонент должен предоставить:</w:t>
      </w:r>
    </w:p>
    <w:p>
      <w:pPr>
        <w:pStyle w:val="Normal"/>
        <w:spacing w:lineRule="auto" w:line="240" w:before="0" w:after="0"/>
        <w:ind w:left="567" w:hanging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- доверенность на получение документов (договор, акт выполненных работ), за исключением, когда присутствует руководитель с печатью;</w:t>
      </w:r>
    </w:p>
    <w:p>
      <w:pPr>
        <w:pStyle w:val="Normal"/>
        <w:spacing w:lineRule="auto" w:line="240" w:before="0" w:after="0"/>
        <w:ind w:left="567" w:hanging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- доверенность на сдачу Сектора под охрану, с указанием всех сотрудников, которые имеют данные полномочия;</w:t>
      </w:r>
    </w:p>
    <w:p>
      <w:pPr>
        <w:pStyle w:val="Normal"/>
        <w:spacing w:lineRule="auto" w:line="240" w:before="0" w:after="0"/>
        <w:ind w:left="567" w:hanging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- приказ о назначении ответственного по ТБ (Грузоподъемным механизмам, пожаробезопасности, электроработам).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 xml:space="preserve">1.7. За каждым Экспонентом закреплен менеджер Устроителя, </w:t>
        <w:tab/>
        <w:t xml:space="preserve">уполномоченный решать вопросы, возникающие в период нахождения </w:t>
        <w:tab/>
        <w:t>экспонента на территории Выставки, с момента заезда и до выезда.</w:t>
      </w:r>
    </w:p>
    <w:p>
      <w:pPr>
        <w:pStyle w:val="Normal"/>
        <w:spacing w:lineRule="auto" w:line="240" w:before="0" w:after="0"/>
        <w:ind w:left="567" w:hanging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</w:r>
    </w:p>
    <w:p>
      <w:pPr>
        <w:pStyle w:val="Normal"/>
        <w:spacing w:lineRule="auto" w:line="240" w:before="0" w:after="0"/>
        <w:ind w:left="-153" w:hanging="0"/>
        <w:contextualSpacing/>
        <w:jc w:val="center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4"/>
          <w:szCs w:val="24"/>
        </w:rPr>
        <w:t>СПИСОК МЕНЕДЖЕРОВ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</w:r>
    </w:p>
    <w:tbl>
      <w:tblPr>
        <w:tblStyle w:val="1"/>
        <w:tblW w:w="93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113"/>
        <w:gridCol w:w="3400"/>
        <w:gridCol w:w="2826"/>
      </w:tblGrid>
      <w:tr>
        <w:trPr/>
        <w:tc>
          <w:tcPr>
            <w:tcW w:w="311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657C9C"/>
                <w:sz w:val="20"/>
                <w:szCs w:val="20"/>
              </w:rPr>
              <w:t>Менеджер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657C9C"/>
                <w:sz w:val="20"/>
                <w:szCs w:val="20"/>
              </w:rPr>
              <w:t>ФИО</w:t>
            </w:r>
          </w:p>
        </w:tc>
        <w:tc>
          <w:tcPr>
            <w:tcW w:w="34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657C9C"/>
                <w:sz w:val="20"/>
                <w:szCs w:val="20"/>
              </w:rPr>
              <w:t>Зона ответственности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657C9C"/>
                <w:sz w:val="20"/>
                <w:szCs w:val="20"/>
              </w:rPr>
              <w:t>(блок)</w:t>
            </w:r>
          </w:p>
        </w:tc>
        <w:tc>
          <w:tcPr>
            <w:tcW w:w="282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657C9C"/>
                <w:sz w:val="20"/>
                <w:szCs w:val="20"/>
              </w:rPr>
              <w:t>Контакты</w:t>
            </w:r>
          </w:p>
        </w:tc>
      </w:tr>
      <w:tr>
        <w:trPr/>
        <w:tc>
          <w:tcPr>
            <w:tcW w:w="311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  <w:t>Гоф Юрий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  <w:t>Жданов Анатолий</w:t>
            </w:r>
          </w:p>
        </w:tc>
        <w:tc>
          <w:tcPr>
            <w:tcW w:w="34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  <w:lang w:val="en-US"/>
              </w:rPr>
              <w:t>1, 2, 3, 4, 5, 6, 7, 8, 9, 10</w:t>
            </w:r>
          </w:p>
        </w:tc>
        <w:tc>
          <w:tcPr>
            <w:tcW w:w="282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  <w:t>+7 900 2615363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  <w:t>+7 918 4812519</w:t>
            </w:r>
          </w:p>
        </w:tc>
      </w:tr>
      <w:tr>
        <w:trPr/>
        <w:tc>
          <w:tcPr>
            <w:tcW w:w="311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  <w:t>Мордовин Борис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  <w:t>Школьник Александр</w:t>
            </w:r>
          </w:p>
        </w:tc>
        <w:tc>
          <w:tcPr>
            <w:tcW w:w="34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  <w:lang w:val="en-US"/>
              </w:rPr>
              <w:t>11, 12, 14, 15 16, 17, 18</w:t>
            </w:r>
          </w:p>
        </w:tc>
        <w:tc>
          <w:tcPr>
            <w:tcW w:w="282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  <w:t>+7 918 4448768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  <w:t>+7 918 3489110</w:t>
            </w:r>
          </w:p>
        </w:tc>
      </w:tr>
      <w:tr>
        <w:trPr/>
        <w:tc>
          <w:tcPr>
            <w:tcW w:w="311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  <w:t>Куклин Алексей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  <w:t>Трофимов Александр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  <w:t>Белокопытов Игорь</w:t>
            </w:r>
          </w:p>
        </w:tc>
        <w:tc>
          <w:tcPr>
            <w:tcW w:w="34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  <w:lang w:val="en-US"/>
              </w:rPr>
              <w:t>19, 20, 21, 22, 23, 24, 25, 26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  <w:lang w:val="en-US"/>
              </w:rPr>
              <w:t>27, 28, 30, 31, 32, 33, 34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</w:r>
          </w:p>
        </w:tc>
        <w:tc>
          <w:tcPr>
            <w:tcW w:w="282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  <w:t>+7 928 2959830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  <w:t>+7 918 4119596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Cs/>
                <w:color w:val="657C9C"/>
                <w:sz w:val="24"/>
                <w:szCs w:val="24"/>
              </w:rPr>
              <w:t>+7 918 2625621</w:t>
            </w:r>
          </w:p>
        </w:tc>
      </w:tr>
    </w:tbl>
    <w:p>
      <w:pPr>
        <w:pStyle w:val="Normal"/>
        <w:spacing w:lineRule="auto" w:line="240" w:before="0" w:after="0"/>
        <w:ind w:left="1170" w:hanging="0"/>
        <w:contextualSpacing/>
        <w:jc w:val="center"/>
        <w:rPr>
          <w:rFonts w:ascii="Times New Roman" w:hAnsi="Times New Roman" w:eastAsia="Calibri" w:cs="Times New Roman"/>
          <w:b/>
          <w:b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ind w:left="1170" w:hanging="0"/>
        <w:contextualSpacing/>
        <w:jc w:val="center"/>
        <w:rPr>
          <w:rFonts w:ascii="Times New Roman" w:hAnsi="Times New Roman" w:eastAsia="Calibri" w:cs="Times New Roman"/>
          <w:b/>
          <w:b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ind w:left="1170" w:hanging="0"/>
        <w:contextualSpacing/>
        <w:jc w:val="center"/>
        <w:rPr>
          <w:rFonts w:ascii="Times New Roman" w:hAnsi="Times New Roman" w:eastAsia="Calibri" w:cs="Times New Roman"/>
          <w:b/>
          <w:b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i/>
          <w:color w:val="657C9C"/>
          <w:sz w:val="28"/>
          <w:szCs w:val="28"/>
          <w:u w:val="single"/>
        </w:rPr>
        <w:t>2. Режим охраны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В период подготовки и проведения Выставки Устроитель обеспечивает общую охрану территории.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В дни подготовки к Выставке (с 07.09.2020 г. по 14.09.2020 г.) и в дни выезда (18.09.2020 г. по 23.09.2020 г.), территория комплекса охраняется в ночное время с 19:00 до 8:00 час.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В дни проведения Выставки охрана осуществляется с 18:00 до 8:00 час.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Устроитель самостоятельно определяет объем мероприятий, необходимых для обеспечения безопасности.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Экспонент обязан неукоснительно выполнять все требования Устроителя, направленные на обеспечение безопасности.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Во избежание порчи техники и оборудования в дни заезда/выезда Экспонент обеспечивает постоянное присутствие своего представителя на выставочном участке с момента открытия выставочной территории до момента приема территории под охрану.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Ответственность за сохранность экспонатов и личных вещей на стенде и парковке лежит на Экспоненте.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В случае необходимости обеспечения дополнительной охраны материальных ценностей, Экспонент может заказать услуги охраны у охранного предприятия ООО «Частная охранная организация «Евромост U» (ответственное лицо: Гуркин Александр Федорович, тел: +7 918 0260262). Стоимость 1 часа охраны — 125,00 рублей.</w:t>
      </w:r>
    </w:p>
    <w:p>
      <w:pPr>
        <w:pStyle w:val="Normal"/>
        <w:numPr>
          <w:ilvl w:val="0"/>
          <w:numId w:val="2"/>
        </w:numPr>
        <w:spacing w:lineRule="auto" w:line="240" w:before="0" w:after="0"/>
        <w:contextualSpacing/>
        <w:jc w:val="center"/>
        <w:rPr>
          <w:rFonts w:ascii="Times New Roman" w:hAnsi="Times New Roman" w:eastAsia="Calibri" w:cs="Times New Roman"/>
          <w:b/>
          <w:b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i/>
          <w:color w:val="657C9C"/>
          <w:sz w:val="28"/>
          <w:szCs w:val="28"/>
          <w:u w:val="single"/>
        </w:rPr>
        <w:t>Уровень звука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Применение звукового оборудования на стендах Экспонентов разрешено при согласовании с Устроителем.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Уровень звука на Стенде не должен превышать уровень 75 ДБ и мешать нормальной работе других Экспонентов.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При появлении жалоб со стороны других Экспонентов на высокий уровень звука, Устроитель вправе потребовать уменьшения уровня до приемлемой величины.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При игнорировании данного требования, Устроитель оставляет за собой право отключить источник звукового сигнала.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450" w:hanging="0"/>
        <w:contextualSpacing/>
        <w:jc w:val="center"/>
        <w:rPr>
          <w:rFonts w:ascii="Times New Roman" w:hAnsi="Times New Roman" w:eastAsia="Calibri" w:cs="Times New Roman"/>
          <w:b/>
          <w:b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eastAsia="Calibri" w:cs="Times New Roman"/>
          <w:b/>
          <w:b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eastAsia="Calibri" w:cs="Times New Roman"/>
          <w:b/>
          <w:b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i/>
          <w:color w:val="657C9C"/>
          <w:sz w:val="28"/>
          <w:szCs w:val="28"/>
          <w:u w:val="single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contextualSpacing/>
        <w:jc w:val="center"/>
        <w:rPr>
          <w:rFonts w:ascii="Times New Roman" w:hAnsi="Times New Roman" w:eastAsia="Calibri" w:cs="Times New Roman"/>
          <w:b/>
          <w:b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i/>
          <w:color w:val="657C9C"/>
          <w:sz w:val="28"/>
          <w:szCs w:val="28"/>
          <w:u w:val="single"/>
        </w:rPr>
        <w:t>Порядок поддержания чистоты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По периметру Блоков установлены мусорные контейнеры, которые освобождаются технической службой Устроителя.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Экспонент самостоятельно несет ответственность за утилизацию отходов во время монтажа/демонтажа своего стенда.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 xml:space="preserve">Контейнеры для мусора, устанавливаемые самими Экспонентами на Стенде, должны быть выполнены из металла. Хранение упаковочной тары на Стенде не допускается по правилам пожарной безопасности. Экспонент, при необходимости, хранит упаковочную тару в специально отведенном для этого месте, указанном Устроителем. </w:t>
      </w:r>
    </w:p>
    <w:p>
      <w:pPr>
        <w:pStyle w:val="Normal"/>
        <w:numPr>
          <w:ilvl w:val="0"/>
          <w:numId w:val="2"/>
        </w:numPr>
        <w:spacing w:lineRule="auto" w:line="240" w:before="0" w:after="0"/>
        <w:contextualSpacing/>
        <w:jc w:val="center"/>
        <w:rPr>
          <w:rFonts w:ascii="Times New Roman" w:hAnsi="Times New Roman" w:eastAsia="Calibri" w:cs="Times New Roman"/>
          <w:b/>
          <w:b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bCs/>
          <w:i/>
          <w:color w:val="657C9C"/>
          <w:sz w:val="28"/>
          <w:szCs w:val="28"/>
          <w:u w:val="single"/>
        </w:rPr>
        <w:t>Правила проведения ПРР</w:t>
      </w:r>
    </w:p>
    <w:p>
      <w:pPr>
        <w:pStyle w:val="Normal"/>
        <w:spacing w:lineRule="auto" w:line="240" w:before="0" w:after="0"/>
        <w:ind w:left="450" w:hanging="0"/>
        <w:contextualSpacing/>
        <w:rPr>
          <w:rFonts w:ascii="Times New Roman" w:hAnsi="Times New Roman" w:eastAsia="Calibri" w:cs="Times New Roman"/>
          <w:b/>
          <w:b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i/>
          <w:color w:val="657C9C"/>
          <w:sz w:val="28"/>
          <w:szCs w:val="28"/>
          <w:u w:val="single"/>
        </w:rPr>
      </w:r>
    </w:p>
    <w:tbl>
      <w:tblPr>
        <w:tblStyle w:val="1"/>
        <w:tblW w:w="10348" w:type="dxa"/>
        <w:jc w:val="left"/>
        <w:tblInd w:w="-572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60"/>
        <w:gridCol w:w="1700"/>
        <w:gridCol w:w="7088"/>
      </w:tblGrid>
      <w:tr>
        <w:trPr/>
        <w:tc>
          <w:tcPr>
            <w:tcW w:w="156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color w:val="657C9C"/>
                <w:sz w:val="24"/>
                <w:szCs w:val="24"/>
              </w:rPr>
              <w:t>Дата</w:t>
            </w:r>
          </w:p>
        </w:tc>
        <w:tc>
          <w:tcPr>
            <w:tcW w:w="17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color w:val="657C9C"/>
                <w:sz w:val="24"/>
                <w:szCs w:val="24"/>
              </w:rPr>
              <w:t>Время</w:t>
            </w:r>
          </w:p>
        </w:tc>
        <w:tc>
          <w:tcPr>
            <w:tcW w:w="708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/>
                <w:color w:val="657C9C"/>
                <w:sz w:val="24"/>
                <w:szCs w:val="24"/>
              </w:rPr>
              <w:t>Работы</w:t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i/>
                <w:i/>
                <w:color w:val="657C9C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07.09 – 13.09</w:t>
            </w:r>
          </w:p>
        </w:tc>
        <w:tc>
          <w:tcPr>
            <w:tcW w:w="17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8:00 – 19:00</w:t>
            </w:r>
          </w:p>
        </w:tc>
        <w:tc>
          <w:tcPr>
            <w:tcW w:w="7088" w:type="dxa"/>
            <w:tcBorders/>
          </w:tcPr>
          <w:p>
            <w:pPr>
              <w:pStyle w:val="Normal"/>
              <w:spacing w:lineRule="auto" w:line="240" w:before="0" w:after="0"/>
              <w:ind w:left="-115" w:hanging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Ввоз грузов на территорию Выставки согласно графику с использованием грузоподъемных механизмов</w:t>
            </w:r>
          </w:p>
        </w:tc>
      </w:tr>
      <w:tr>
        <w:trPr>
          <w:trHeight w:val="208" w:hRule="atLeast"/>
        </w:trPr>
        <w:tc>
          <w:tcPr>
            <w:tcW w:w="156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i/>
                <w:i/>
                <w:color w:val="657C9C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14.09</w:t>
            </w:r>
          </w:p>
        </w:tc>
        <w:tc>
          <w:tcPr>
            <w:tcW w:w="17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8:00 – 17:00</w:t>
            </w:r>
          </w:p>
        </w:tc>
        <w:tc>
          <w:tcPr>
            <w:tcW w:w="7088" w:type="dxa"/>
            <w:tcBorders/>
          </w:tcPr>
          <w:p>
            <w:pPr>
              <w:pStyle w:val="Normal"/>
              <w:spacing w:lineRule="auto" w:line="240" w:before="0" w:after="0"/>
              <w:ind w:left="-115" w:hanging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Заезд Экспонентов на ярмарку</w:t>
            </w:r>
          </w:p>
        </w:tc>
      </w:tr>
      <w:tr>
        <w:trPr>
          <w:trHeight w:val="198" w:hRule="atLeast"/>
        </w:trPr>
        <w:tc>
          <w:tcPr>
            <w:tcW w:w="156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i/>
                <w:i/>
                <w:color w:val="657C9C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15.09 – 17.09</w:t>
            </w:r>
          </w:p>
        </w:tc>
        <w:tc>
          <w:tcPr>
            <w:tcW w:w="17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8:00 – 17:00</w:t>
            </w:r>
          </w:p>
        </w:tc>
        <w:tc>
          <w:tcPr>
            <w:tcW w:w="7088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ind w:left="-115" w:hanging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Время работы Выставки.</w:t>
            </w:r>
          </w:p>
          <w:p>
            <w:pPr>
              <w:pStyle w:val="Normal"/>
              <w:spacing w:lineRule="auto" w:line="240" w:before="0" w:after="0"/>
              <w:ind w:left="-115" w:hanging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ПРР не производится.</w:t>
            </w:r>
          </w:p>
        </w:tc>
      </w:tr>
      <w:tr>
        <w:trPr>
          <w:trHeight w:val="249" w:hRule="atLeast"/>
        </w:trPr>
        <w:tc>
          <w:tcPr>
            <w:tcW w:w="156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i/>
                <w:i/>
                <w:color w:val="657C9C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18.09</w:t>
            </w:r>
          </w:p>
        </w:tc>
        <w:tc>
          <w:tcPr>
            <w:tcW w:w="17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8:00 – 12:00</w:t>
            </w:r>
          </w:p>
        </w:tc>
        <w:tc>
          <w:tcPr>
            <w:tcW w:w="7088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ind w:left="-115" w:hanging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</w:r>
          </w:p>
        </w:tc>
      </w:tr>
      <w:tr>
        <w:trPr>
          <w:trHeight w:val="508" w:hRule="atLeast"/>
        </w:trPr>
        <w:tc>
          <w:tcPr>
            <w:tcW w:w="156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i/>
                <w:i/>
                <w:color w:val="657C9C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18.08</w:t>
            </w:r>
          </w:p>
        </w:tc>
        <w:tc>
          <w:tcPr>
            <w:tcW w:w="17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12:00 – 19:00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</w:r>
          </w:p>
        </w:tc>
        <w:tc>
          <w:tcPr>
            <w:tcW w:w="7088" w:type="dxa"/>
            <w:tcBorders/>
          </w:tcPr>
          <w:p>
            <w:pPr>
              <w:pStyle w:val="Normal"/>
              <w:spacing w:lineRule="auto" w:line="240" w:before="0" w:after="0"/>
              <w:ind w:left="-115" w:hanging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Выезд самоходного транспорта, вывоз грузов манипуляторами (грузоподъемностью до 3-х тонн) по окончании работы Выставки</w:t>
            </w:r>
          </w:p>
        </w:tc>
      </w:tr>
      <w:tr>
        <w:trPr>
          <w:trHeight w:val="549" w:hRule="atLeast"/>
        </w:trPr>
        <w:tc>
          <w:tcPr>
            <w:tcW w:w="156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i/>
                <w:i/>
                <w:color w:val="657C9C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19.09 – 23.09</w:t>
            </w:r>
          </w:p>
        </w:tc>
        <w:tc>
          <w:tcPr>
            <w:tcW w:w="17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8:00 – 19:00</w:t>
            </w:r>
          </w:p>
        </w:tc>
        <w:tc>
          <w:tcPr>
            <w:tcW w:w="7088" w:type="dxa"/>
            <w:tcBorders/>
          </w:tcPr>
          <w:p>
            <w:pPr>
              <w:pStyle w:val="Normal"/>
              <w:spacing w:lineRule="auto" w:line="240" w:before="0" w:after="0"/>
              <w:ind w:left="-115" w:hanging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Вывоз грузов с территории Выставки согласно графику,</w:t>
            </w:r>
          </w:p>
          <w:p>
            <w:pPr>
              <w:pStyle w:val="Normal"/>
              <w:spacing w:lineRule="auto" w:line="240" w:before="0" w:after="0"/>
              <w:ind w:left="-115" w:hanging="0"/>
              <w:jc w:val="center"/>
              <w:rPr>
                <w:rFonts w:ascii="Times New Roman" w:hAnsi="Times New Roman" w:eastAsia="Calibri" w:cs="Times New Roman"/>
                <w:i/>
                <w:i/>
                <w:sz w:val="24"/>
              </w:rPr>
            </w:pPr>
            <w:r>
              <w:rPr>
                <w:rFonts w:eastAsia="Calibri" w:cs="Times New Roman" w:ascii="Times New Roman" w:hAnsi="Times New Roman"/>
                <w:i/>
                <w:color w:val="657C9C"/>
                <w:sz w:val="24"/>
                <w:szCs w:val="24"/>
              </w:rPr>
              <w:t>с использованием грузоподъемных механизмов</w:t>
            </w:r>
          </w:p>
        </w:tc>
      </w:tr>
    </w:tbl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ПРР осуществляются Партнером Выставки, на основании отдельно заключенного договора между Экспонентом и Партнером Выставки ООО «ЮГ-КРАН».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Ответственные лица: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Страшко Геннадий Геннадьевич</w:t>
        <w:tab/>
        <w:t xml:space="preserve"> тел.: +7 (962) 4497000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Дулан Максим Анатольевич</w:t>
        <w:tab/>
        <w:tab/>
        <w:tab/>
        <w:t xml:space="preserve"> тел.: +7 (918) 2712937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 xml:space="preserve">При осуществлении ПРР собственными или наемными грузоподъемными механизмами Экспоненту необходимо пройти обязательную Аккредитацию используемых механизмов, предоставить ответственному за проведение ПРР (см. п.п. 5.2.) разрешительные документы на используемые грузоподъемные механизмы, и лиц ими управляющих, а также схемы строповки грузов. 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Экспонент должен заблаговременно (не менее, чем за 10 дней до планируемой даты ПРР) согласовать с Партнером выставки график ввоза/вывоза грузов.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 xml:space="preserve">Для организации ввоза/вывоза грузов на территорию Выставки экспоненту необходимо предоставить следующие документы: </w:t>
      </w:r>
    </w:p>
    <w:p>
      <w:pPr>
        <w:pStyle w:val="Normal"/>
        <w:spacing w:lineRule="auto" w:line="240" w:before="0" w:after="0"/>
        <w:ind w:left="1170" w:hanging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- письмо с перечнем техники и оборудования, с указанием названия фирмы и подписью руководителя или доверительного лица (три экземпляра).</w:t>
      </w:r>
    </w:p>
    <w:p>
      <w:pPr>
        <w:pStyle w:val="Normal"/>
        <w:spacing w:lineRule="auto" w:line="240" w:before="0" w:after="0"/>
        <w:ind w:left="1440" w:hanging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>- пропуск на транспортное средство Экспонента (оформляется в Оргкомитете Выставки).</w:t>
      </w:r>
    </w:p>
    <w:p>
      <w:pPr>
        <w:pStyle w:val="Normal"/>
        <w:numPr>
          <w:ilvl w:val="0"/>
          <w:numId w:val="2"/>
        </w:numPr>
        <w:spacing w:lineRule="auto" w:line="240" w:before="0" w:after="0"/>
        <w:contextualSpacing/>
        <w:jc w:val="center"/>
        <w:rPr>
          <w:rFonts w:ascii="Times New Roman" w:hAnsi="Times New Roman" w:eastAsia="Calibri" w:cs="Times New Roman"/>
          <w:b/>
          <w:b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bCs/>
          <w:i/>
          <w:color w:val="657C9C"/>
          <w:sz w:val="28"/>
          <w:szCs w:val="28"/>
          <w:u w:val="single"/>
        </w:rPr>
        <w:t>Правила ТБ, электробезопасности, пожаробезопасности, безопасности дорожного движения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i/>
          <w:color w:val="657C9C"/>
          <w:sz w:val="28"/>
          <w:szCs w:val="28"/>
        </w:rPr>
        <w:t xml:space="preserve">Инженер по ТБ – Польский Юрий Алексеевич, тел.: +7 918 3202480 - проводит инструктаж Экспонентов по правилам безопасности при производстве ПРР, электротехнических работ, пожаробезопасности, безопасности дорожного движения и технике безопасности при нахождении на территории Выставки, а также аккредитацию Застройщиков. 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 xml:space="preserve">В период проведения Выставки Экспонент несет ответственность за противопожарную безопасность при эксплуатации Стенда. 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 xml:space="preserve">Ввоз на территорию Выставки радиоактивных, пожаро/взрывоопасных материалов и грузов не допускается. 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Вся экспонируемая самоходная техника должна быть оборудована средствами пожаротушения и аптечками для оказания первой медицинской помощи.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Применение на Выставке открытого огня, пиротехнических и дымовых эффектов, хранение и использование легковоспламеняющихся веществ и горючих сжатых газов запрещено.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При образовании отходов в результате демонстрации оборудования, следует заранее самостоятельно их утилизировать.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Устроители Выставки не обеспечивают утилизацию жидких отходов.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В случае нарушения требований, указанных выше, Устроители вправе отказать в демонстрации экспонатов.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Все конструкции, возведенные Экспонентом на Стенде (палатки, навесы, флаги и др.) должны быть укреплены надлежащим образом с учетом ветровых нагрузок.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Установка и демонстрация экспонатов и работ, связанных с использованием открытого огня (сварочные и паяльные работы и т.п.), подлежат согласованию с инженером по ТБ (п.п. 6.1.). Проведение сварочных и других огнеопасных работ разрешено только при наличии соответствующей разрешительной документации, оформленной у Устроителей при строгом соблюдении действующих правил пожарной безопасности.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На Стендах не допускается устройство зон барбекю, установка мангалов и мест разведения открытого огня, проведение фейерверков, использование бенгальских огней и других пиротехнических изделий.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Территория каждого блока будет оснащена средствами пожаротушения (огнетушителями), местонахождение которых необходимо уточнить у менеджера Устроителя, ответственного за Блок.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 xml:space="preserve">При несоответствии оформления Стенда требованиям настоящих Правил, Устроитель имеет право потребовать от экспонента и/или Застройщика устранить нарушение или произвести демонтаж экспозиции. 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Все Экспоненты Выставки должны знать и соблюдать меры пожарной безопасности, уметь действовать в случае пожара и пользоваться первичными средствами пожаротушения.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За нарушение правил пожарной безопасности к Экспонентам и Застройщикам выставки органами надзорной деятельности МЧС РФ в установленном порядке применяются санкции в соответствии с действующим законодательством РФ.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К проведению электротехнических работ и оперативному обслуживанию электрооборудования на Стендах и конструкциях допускаются лица, отвечающие требованиям, предъявляемым к электротехническому персоналу, имеющие соответствующую квалификацию по электробезопасности. Демонтаж электрооборудования и соответствующие отключения на выставочных стендах производит персонал, выполняющий монтаж.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Все электротехнические работы при проведении монтажа Стендов, оборудования на токоведущих участках должны производиться только при снятии напряжения.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В местах прохода людей кабель необходимо закрыть специальными трапами.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Все соединения и ответвления проводов и кабелей выполнять только специальными зажимами и разъемами, запрещается подключать токоприемники к электросети путем непосредственного соединения проводов.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К электрораспределительным вводным устройствам должен быть обеспечен свободный подход.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  <w:u w:val="single"/>
        </w:rPr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Для освещения Стендов и конструкций должны использоваться электросветильники применительно к пожароопасным помещениям класса П2. Применения в светильниках рассеивателей из органического стекла, полимеров и других легковоспламеняющихся материалов не разрешается. Расстояние от светильников подсветки до сгораемых или трудно сгораемых поверхностей должно быть не менее 50 см.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Представители Устроителя имеют право произвести экстренное отключение электроэнергии от выставочных стендов и конструкций в случае аварий и в целях предотвращения несчастных случаев при грубых нарушениях ПТЭЭП и ПТБ.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Потребителям электроэнергии на Выставке не разрешается без согласования с Устроителем присоединять к вводному устройству дополнительные нагрузки, не указанные в заявке.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 xml:space="preserve">На всей территории Выставочного комплекса действуют правила дорожного движения. Максимально допустимая скорость на территории Выставки не более 10 км/час. 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Парковка непосредственно на территории Выставки допускается только в специально отведенных для этого местах, в период подготовки выставки и по её окончании с 8:00 до 19:00 часов. В остальное время парковка на территории Выставки не допускается.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Транспорт припаркованный с нарушением правил, будет эвакуирован за пределы выставки, за счет Экспонента и под его ответственность.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Сразу после разгрузки/погрузки экспонатов и грузов автотранспорт должен выехать за территорию Выставки.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Пребывание любого автотранспорта, кроме экспонируемого, на территории Выставки в ночное время недопустимо.</w:t>
      </w:r>
    </w:p>
    <w:p>
      <w:pPr>
        <w:pStyle w:val="Normal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Въезд/выезд автотранспорта во время организации и работы Выставки осуществляется по пропускам, получаемым у Устроителя.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b/>
          <w:b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i/>
          <w:color w:val="657C9C"/>
          <w:sz w:val="28"/>
          <w:szCs w:val="28"/>
          <w:u w:val="single"/>
        </w:rPr>
        <w:t>7. Регламент работы Застройщиков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7.1. При привлечении к застройке Стенда Застройщика, Экспонент заблаговременно согласовывает это с Устроителем, в письменной форме сообщает наименование, адрес, телефон и ФИО контактного лица Застройщика.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7.2. Каждый Застройщик обязан пройти Аккредитацию для допуска к работе на территории Выставки (см. п.п. 6.1.) и неукоснительно соблюдать требования настоящих Правил.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7.3. Пропуск на территорию Выставки выдается Застройщику только при выполнении требований п.п. 7.1. и 7.2.</w:t>
      </w:r>
    </w:p>
    <w:p>
      <w:pPr>
        <w:pStyle w:val="Normal"/>
        <w:spacing w:lineRule="auto" w:line="240" w:before="0" w:after="0"/>
        <w:ind w:left="439" w:hanging="0"/>
        <w:contextualSpacing/>
        <w:jc w:val="both"/>
        <w:rPr>
          <w:rFonts w:ascii="Times New Roman" w:hAnsi="Times New Roman" w:eastAsia="Calibri" w:cs="Times New Roman"/>
          <w:b/>
          <w:b/>
          <w:bCs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i/>
          <w:color w:val="657C9C"/>
          <w:sz w:val="28"/>
          <w:szCs w:val="28"/>
        </w:rPr>
        <w:t xml:space="preserve">*Внимание! 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ab/>
        <w:t>Устроитель оставляет за собой право не допускать к проведению монтажных работ Застройщика, не прошедшего Аккредитацию и/или нарушающего действующие на территории Выставки ПРАВИЛА</w:t>
      </w:r>
      <w:bookmarkStart w:id="0" w:name="_GoBack"/>
      <w:bookmarkEnd w:id="0"/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  <w:t>.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Times New Roman" w:hAnsi="Times New Roman" w:eastAsia="Calibri" w:cs="Times New Roman"/>
          <w:bCs/>
          <w:i/>
          <w:i/>
          <w:color w:val="657C9C"/>
          <w:sz w:val="28"/>
          <w:szCs w:val="28"/>
        </w:rPr>
      </w:pPr>
      <w:r>
        <w:rPr>
          <w:rFonts w:eastAsia="Calibri" w:cs="Times New Roman" w:ascii="Times New Roman" w:hAnsi="Times New Roman"/>
          <w:bCs/>
          <w:i/>
          <w:color w:val="657C9C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b/>
          <w:b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b/>
          <w:b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bCs/>
          <w:i/>
          <w:color w:val="657C9C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b/>
          <w:b/>
          <w:bCs/>
          <w:i/>
          <w:i/>
          <w:color w:val="657C9C"/>
          <w:sz w:val="28"/>
          <w:szCs w:val="28"/>
          <w:u w:val="single"/>
        </w:rPr>
      </w:pPr>
      <w:r>
        <w:rPr>
          <w:rFonts w:eastAsia="Calibri" w:cs="Times New Roman" w:ascii="Times New Roman" w:hAnsi="Times New Roman"/>
          <w:b/>
          <w:bCs/>
          <w:i/>
          <w:color w:val="657C9C"/>
          <w:sz w:val="44"/>
          <w:szCs w:val="44"/>
          <w:u w:val="single"/>
        </w:rPr>
        <w:t>Ответственность за выполнение настоящих Правил полностью лежит на Экспоненте!</w:t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701" w:right="850" w:header="708" w:top="1134" w:footer="261" w:bottom="1134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 Light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Harlow Solid Italic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408"/>
        <w:tab w:val="center" w:pos="4677" w:leader="none"/>
        <w:tab w:val="right" w:pos="9355" w:leader="none"/>
      </w:tabs>
      <w:spacing w:lineRule="auto" w:line="240" w:before="0" w:after="0"/>
      <w:jc w:val="center"/>
      <w:rPr>
        <w:rFonts w:ascii="Calibri" w:hAnsi="Calibri" w:eastAsia="Calibri" w:cs="Times New Roman (Основной текст"/>
        <w:b/>
        <w:b/>
        <w:i/>
        <w:i/>
        <w:color w:val="657C9C"/>
        <w:sz w:val="24"/>
        <w:szCs w:val="24"/>
      </w:rPr>
    </w:pPr>
    <w:r>
      <w:rPr>
        <w:rFonts w:eastAsia="Calibri" w:cs="Times New Roman (Основной текст"/>
        <w:b/>
        <w:i/>
        <w:sz w:val="24"/>
        <w:szCs w:val="24"/>
      </w:rPr>
      <w:fldChar w:fldCharType="begin"/>
    </w:r>
    <w:r>
      <w:rPr>
        <w:sz w:val="24"/>
        <w:i/>
        <w:b/>
        <w:szCs w:val="24"/>
        <w:rFonts w:eastAsia="Calibri" w:cs="Times New Roman (Основной текст"/>
      </w:rPr>
      <w:instrText> PAGE </w:instrText>
    </w:r>
    <w:r>
      <w:rPr>
        <w:sz w:val="24"/>
        <w:i/>
        <w:b/>
        <w:szCs w:val="24"/>
        <w:rFonts w:eastAsia="Calibri" w:cs="Times New Roman (Основной текст"/>
      </w:rPr>
      <w:fldChar w:fldCharType="separate"/>
    </w:r>
    <w:r>
      <w:rPr>
        <w:sz w:val="24"/>
        <w:i/>
        <w:b/>
        <w:szCs w:val="24"/>
        <w:rFonts w:eastAsia="Calibri" w:cs="Times New Roman (Основной текст"/>
      </w:rPr>
      <w:t>10</w:t>
    </w:r>
    <w:r>
      <w:rPr>
        <w:sz w:val="24"/>
        <w:i/>
        <w:b/>
        <w:szCs w:val="24"/>
        <w:rFonts w:eastAsia="Calibri" w:cs="Times New Roman (Основной текст"/>
      </w:rPr>
      <w:fldChar w:fldCharType="end"/>
    </w:r>
  </w:p>
  <w:p>
    <w:pPr>
      <w:pStyle w:val="Style25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408"/>
        <w:tab w:val="center" w:pos="4677" w:leader="none"/>
        <w:tab w:val="right" w:pos="9355" w:leader="none"/>
      </w:tabs>
      <w:spacing w:lineRule="auto" w:line="240" w:before="0" w:after="0"/>
      <w:jc w:val="center"/>
      <w:rPr>
        <w:rFonts w:ascii="Calibri" w:hAnsi="Calibri" w:eastAsia="Calibri" w:cs="Times New Roman (Основной текст"/>
        <w:b/>
        <w:b/>
        <w:i/>
        <w:i/>
        <w:color w:val="657C9C"/>
        <w:sz w:val="24"/>
        <w:szCs w:val="24"/>
      </w:rPr>
    </w:pPr>
    <w:r>
      <w:rPr>
        <w:rFonts w:eastAsia="Calibri" w:cs="Times New Roman (Основной текст"/>
        <w:b/>
        <w:i/>
        <w:sz w:val="24"/>
        <w:szCs w:val="24"/>
      </w:rPr>
      <w:fldChar w:fldCharType="begin"/>
    </w:r>
    <w:r>
      <w:rPr>
        <w:sz w:val="24"/>
        <w:i/>
        <w:b/>
        <w:szCs w:val="24"/>
        <w:rFonts w:eastAsia="Calibri" w:cs="Times New Roman (Основной текст"/>
      </w:rPr>
      <w:instrText> PAGE </w:instrText>
    </w:r>
    <w:r>
      <w:rPr>
        <w:sz w:val="24"/>
        <w:i/>
        <w:b/>
        <w:szCs w:val="24"/>
        <w:rFonts w:eastAsia="Calibri" w:cs="Times New Roman (Основной текст"/>
      </w:rPr>
      <w:fldChar w:fldCharType="separate"/>
    </w:r>
    <w:r>
      <w:rPr>
        <w:sz w:val="24"/>
        <w:i/>
        <w:b/>
        <w:szCs w:val="24"/>
        <w:rFonts w:eastAsia="Calibri" w:cs="Times New Roman (Основной текст"/>
      </w:rPr>
      <w:t>9</w:t>
    </w:r>
    <w:r>
      <w:rPr>
        <w:sz w:val="24"/>
        <w:i/>
        <w:b/>
        <w:szCs w:val="24"/>
        <w:rFonts w:eastAsia="Calibri" w:cs="Times New Roman (Основной текст"/>
      </w:rPr>
      <w:fldChar w:fldCharType="end"/>
    </w:r>
  </w:p>
  <w:p>
    <w:pPr>
      <w:pStyle w:val="Style25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408"/>
        <w:tab w:val="center" w:pos="4677" w:leader="none"/>
        <w:tab w:val="right" w:pos="9355" w:leader="none"/>
      </w:tabs>
      <w:spacing w:lineRule="auto" w:line="240" w:before="0" w:after="0"/>
      <w:jc w:val="center"/>
      <w:rPr>
        <w:rFonts w:ascii="Calibri" w:hAnsi="Calibri" w:eastAsia="Calibri" w:cs="Times New Roman (Основной текст"/>
        <w:b/>
        <w:b/>
        <w:i/>
        <w:i/>
        <w:color w:val="657C9C"/>
        <w:sz w:val="24"/>
        <w:szCs w:val="24"/>
      </w:rPr>
    </w:pPr>
    <w:r>
      <w:rPr>
        <w:rFonts w:eastAsia="Calibri" w:cs="Times New Roman (Основной текст"/>
        <w:b/>
        <w:i/>
        <w:color w:val="657C9C"/>
        <w:sz w:val="24"/>
        <w:szCs w:val="24"/>
      </w:rPr>
    </w:r>
  </w:p>
  <w:p>
    <w:pPr>
      <w:pStyle w:val="Style25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tabs>
        <w:tab w:val="clear" w:pos="9355"/>
        <w:tab w:val="center" w:pos="4677" w:leader="none"/>
      </w:tabs>
      <w:rPr/>
    </w:pPr>
    <w:r>
      <w:rPr/>
      <w:drawing>
        <wp:inline distT="0" distB="0" distL="0" distR="0">
          <wp:extent cx="2200275" cy="1600200"/>
          <wp:effectExtent l="0" t="0" r="0" b="0"/>
          <wp:docPr id="2" name="Изображение1" descr="C:\Users\User\Desktop\Золотая Нива\Логотипы\Логотип Золотая Нива 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Изображение1" descr="C:\Users\User\Desktop\Золотая Нива\Логотипы\Логотип Золотая Нива 2020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60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      </w:t>
    </w:r>
    <w:r>
      <w:rPr/>
      <w:tab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tabs>
        <w:tab w:val="clear" w:pos="9355"/>
        <w:tab w:val="center" w:pos="4677" w:leader="none"/>
      </w:tabs>
      <w:rPr/>
    </w:pPr>
    <w:r>
      <w:rPr/>
      <w:drawing>
        <wp:inline distT="0" distB="0" distL="0" distR="0">
          <wp:extent cx="2200275" cy="1600200"/>
          <wp:effectExtent l="0" t="0" r="0" b="0"/>
          <wp:docPr id="3" name="Изображение3" descr="C:\Users\User\Desktop\Золотая Нива\Логотипы\Логотип Золотая Нива 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Изображение3" descr="C:\Users\User\Desktop\Золотая Нива\Логотипы\Логотип Золотая Нива 2020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60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      </w:t>
    </w:r>
    <w:r>
      <w:rPr/>
      <w:tab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tabs>
        <w:tab w:val="clear" w:pos="9355"/>
        <w:tab w:val="center" w:pos="4677" w:leader="none"/>
      </w:tabs>
      <w:rPr/>
    </w:pPr>
    <w:r>
      <w:rPr/>
      <w:drawing>
        <wp:inline distT="0" distB="0" distL="0" distR="0">
          <wp:extent cx="2157095" cy="1600200"/>
          <wp:effectExtent l="0" t="0" r="0" b="0"/>
          <wp:docPr id="4" name="Изображение5" descr="C:\Users\User\Desktop\Золотая Нива\Логотипы\Логотип Золотая Нива 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Изображение5" descr="C:\Users\User\Desktop\Золотая Нива\Логотипы\Логотип Золотая Нива 2020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095" cy="160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      </w:t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408"/>
  <w:evenAndOddHeaders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uiPriority w:val="99"/>
    <w:qFormat/>
    <w:rsid w:val="0026407b"/>
    <w:rPr/>
  </w:style>
  <w:style w:type="character" w:styleId="Style15" w:customStyle="1">
    <w:name w:val="Нижний колонтитул Знак"/>
    <w:basedOn w:val="DefaultParagraphFont"/>
    <w:uiPriority w:val="99"/>
    <w:qFormat/>
    <w:rsid w:val="0026407b"/>
    <w:rPr/>
  </w:style>
  <w:style w:type="character" w:styleId="Style16" w:customStyle="1">
    <w:name w:val="Заголовок Знак"/>
    <w:basedOn w:val="DefaultParagraphFont"/>
    <w:uiPriority w:val="10"/>
    <w:qFormat/>
    <w:rsid w:val="0026407b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Style22">
    <w:name w:val="Title"/>
    <w:basedOn w:val="Normal"/>
    <w:next w:val="Style18"/>
    <w:uiPriority w:val="10"/>
    <w:qFormat/>
    <w:rsid w:val="0026407b"/>
    <w:pPr>
      <w:spacing w:lineRule="auto" w:line="240" w:before="0" w:after="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Style23" w:customStyle="1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uiPriority w:val="99"/>
    <w:unhideWhenUsed/>
    <w:rsid w:val="0026407b"/>
    <w:pPr>
      <w:tabs>
        <w:tab w:val="clear" w:pos="4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uiPriority w:val="99"/>
    <w:unhideWhenUsed/>
    <w:rsid w:val="0026407b"/>
    <w:pPr>
      <w:tabs>
        <w:tab w:val="clear" w:pos="4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387aa2"/>
    <w:pPr>
      <w:spacing w:before="0" w:after="160"/>
      <w:ind w:left="720" w:hanging="0"/>
      <w:contextualSpacing/>
    </w:pPr>
    <w:rPr/>
  </w:style>
  <w:style w:type="paragraph" w:styleId="Style26" w:customStyle="1">
    <w:name w:val="Содержимое таблицы"/>
    <w:basedOn w:val="Normal"/>
    <w:qFormat/>
    <w:pPr>
      <w:suppressLineNumbers/>
    </w:pPr>
    <w:rPr/>
  </w:style>
  <w:style w:type="paragraph" w:styleId="Style27" w:customStyle="1">
    <w:name w:val="Заголовок таблицы"/>
    <w:basedOn w:val="Style26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39"/>
    <w:rsid w:val="0026407b"/>
    <w:rPr>
      <w:color w:val="657C9C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f1">
    <w:name w:val="Table Grid"/>
    <w:basedOn w:val="a1"/>
    <w:uiPriority w:val="39"/>
    <w:rsid w:val="0026407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1597</TotalTime>
  <Application>LibreOffice/6.4.0.3$Windows_X86_64 LibreOffice_project/b0a288ab3d2d4774cb44b62f04d5d28733ac6df8</Application>
  <Pages>10</Pages>
  <Words>1798</Words>
  <Characters>12718</Characters>
  <CharactersWithSpaces>14377</CharactersWithSpaces>
  <Paragraphs>160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2020-07-14T14:20:00Z</dcterms:created>
  <dc:creator>User</dc:creator>
  <dc:description/>
  <dc:language>ru-RU</dc:language>
  <cp:lastModifiedBy/>
  <cp:lastPrinted>2020-07-16T08:55:00Z</cp:lastPrinted>
  <dcterms:modified xsi:type="dcterms:W3CDTF">2020-08-31T11:36:44Z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